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837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города окружного значения Сургута Ханты-Мансийского автономного округа – Югры Король Е.П., находящегося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Рябикова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Евгения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1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онарушении, предусмотренном ч.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ahoma" w:eastAsia="Tahoma" w:hAnsi="Tahoma" w:cs="Tahoma"/>
          <w:sz w:val="27"/>
          <w:szCs w:val="27"/>
        </w:rPr>
        <w:t xml:space="preserve"> </w:t>
      </w:r>
      <w:r>
        <w:rPr>
          <w:rFonts w:ascii="Tahoma" w:eastAsia="Tahoma" w:hAnsi="Tahoma" w:cs="Tahoma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10.05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20rplc-16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>
        <w:rPr>
          <w:rFonts w:ascii="Times New Roman" w:eastAsia="Times New Roman" w:hAnsi="Times New Roman" w:cs="Times New Roman"/>
          <w:sz w:val="27"/>
          <w:szCs w:val="27"/>
        </w:rPr>
        <w:t>253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ФАД </w:t>
      </w:r>
      <w:r>
        <w:rPr>
          <w:rStyle w:val="cat-UserDefinedgrp-32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Рябиков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ПДД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управлял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транспортным средством </w:t>
      </w:r>
      <w:r>
        <w:rPr>
          <w:rStyle w:val="cat-CarMakeModelgrp-21rplc-19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г/н </w:t>
      </w:r>
      <w:r>
        <w:rPr>
          <w:rStyle w:val="cat-UserDefinedgrp-33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оборудованным с применением материалов, </w:t>
      </w:r>
      <w:r>
        <w:rPr>
          <w:rFonts w:ascii="Times New Roman" w:eastAsia="Times New Roman" w:hAnsi="Times New Roman" w:cs="Times New Roman"/>
          <w:sz w:val="27"/>
          <w:szCs w:val="27"/>
        </w:rPr>
        <w:t>препятствующ</w:t>
      </w:r>
      <w:r>
        <w:rPr>
          <w:rFonts w:ascii="Times New Roman" w:eastAsia="Times New Roman" w:hAnsi="Times New Roman" w:cs="Times New Roman"/>
          <w:sz w:val="27"/>
          <w:szCs w:val="27"/>
        </w:rPr>
        <w:t>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их </w:t>
      </w:r>
      <w:r>
        <w:rPr>
          <w:rFonts w:ascii="Times New Roman" w:eastAsia="Times New Roman" w:hAnsi="Times New Roman" w:cs="Times New Roman"/>
          <w:sz w:val="27"/>
          <w:szCs w:val="27"/>
        </w:rPr>
        <w:t>идентификации</w:t>
      </w:r>
      <w:r>
        <w:rPr>
          <w:rFonts w:ascii="Times New Roman" w:eastAsia="Times New Roman" w:hAnsi="Times New Roman" w:cs="Times New Roman"/>
          <w:sz w:val="27"/>
          <w:szCs w:val="27"/>
        </w:rPr>
        <w:t>, использована грязь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Данное обстоятельство послужило основанием для составления в отношении него </w:t>
      </w:r>
      <w:r>
        <w:rPr>
          <w:rFonts w:ascii="Times New Roman" w:eastAsia="Times New Roman" w:hAnsi="Times New Roman" w:cs="Times New Roman"/>
          <w:sz w:val="27"/>
          <w:szCs w:val="27"/>
        </w:rPr>
        <w:t>10.05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протокола </w:t>
      </w:r>
      <w:r>
        <w:rPr>
          <w:rFonts w:ascii="Times New Roman" w:eastAsia="Times New Roman" w:hAnsi="Times New Roman" w:cs="Times New Roman"/>
          <w:sz w:val="27"/>
          <w:szCs w:val="27"/>
        </w:rPr>
        <w:t>72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honeNumbergrp-23rplc-23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 по ч. 2 ст. 12.2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об административном правонарушении привлекаемый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вину в совершении административного правонарушения признал, не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Частью 2 ст. 12.2 КоАП РФ предусмотрена ответственность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305770/entry/203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2.3.1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Правил дорожного движения, утвержденных постановлением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Правительства Российской Федерации от 23.10.1993 года №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305770/entry/2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допуску транспортных средств к эксплуатации и обязанностями должностных лиц по обеспечению безопасности дорожного движения.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Пунктом 2 Основных положений по допуску транспортных средств к эксплуатации определено,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Запрещается эксплуатация </w:t>
      </w:r>
      <w:r>
        <w:rPr>
          <w:rFonts w:ascii="Times New Roman" w:eastAsia="Times New Roman" w:hAnsi="Times New Roman" w:cs="Times New Roman"/>
          <w:sz w:val="27"/>
          <w:szCs w:val="27"/>
        </w:rPr>
        <w:t>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(п. 11 Основных положений по допуску транспортных средств к эксплуатации).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т.п.,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</w:t>
      </w:r>
      <w:r>
        <w:rPr>
          <w:rFonts w:ascii="Times New Roman" w:eastAsia="Times New Roman" w:hAnsi="Times New Roman" w:cs="Times New Roman"/>
          <w:sz w:val="27"/>
          <w:szCs w:val="27"/>
        </w:rPr>
        <w:t>частности, листва, грязь, снег)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26.11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 и обстоятельства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Рябиков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правонарушения подтверждаются письменными доказательствами: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72 ВВ </w:t>
      </w:r>
      <w:r>
        <w:rPr>
          <w:rStyle w:val="cat-PhoneNumbergrp-23rplc-2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10.05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</w:t>
      </w:r>
      <w:r>
        <w:rPr>
          <w:rFonts w:ascii="Times New Roman" w:eastAsia="Times New Roman" w:hAnsi="Times New Roman" w:cs="Times New Roman"/>
          <w:sz w:val="27"/>
          <w:szCs w:val="27"/>
        </w:rPr>
        <w:t>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копиями водительского удостоверения и свидетельства о регистрации ТС; </w:t>
      </w:r>
      <w:r>
        <w:rPr>
          <w:rFonts w:ascii="Times New Roman" w:eastAsia="Times New Roman" w:hAnsi="Times New Roman" w:cs="Times New Roman"/>
          <w:sz w:val="27"/>
          <w:szCs w:val="27"/>
        </w:rPr>
        <w:t>фото фиксацией правонарушения; реестром правонарушений.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Все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перечисленные </w:t>
      </w:r>
      <w:r>
        <w:rPr>
          <w:rFonts w:ascii="Times New Roman" w:eastAsia="Times New Roman" w:hAnsi="Times New Roman" w:cs="Times New Roman"/>
          <w:sz w:val="27"/>
          <w:szCs w:val="27"/>
        </w:rPr>
        <w:t>доказательства оценены суд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правилами ст. 26.11 КоАП РФ и признаются допустимыми, достоверными и достаточными для вывода о наличии в действиях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Рябикова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состава вменяемого административного правонарушения. </w:t>
      </w:r>
      <w:r>
        <w:rPr>
          <w:rFonts w:ascii="Times New Roman" w:eastAsia="Times New Roman" w:hAnsi="Times New Roman" w:cs="Times New Roman"/>
          <w:sz w:val="27"/>
          <w:szCs w:val="27"/>
        </w:rPr>
        <w:t>В этой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его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квалифицирует по ч. 2 ст. 12.2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управление транспортным средством с применением материалов, препятствующих идентификации государственных регистрационных знаков, либо позволяющих их скрыть (в том числе только одного из них).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правонарушении, не имеется.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 является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>Рябиковым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вины.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 не выявлено.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3.1 КоАП РФ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обсуждении вопроса о назначении вида и размера наказания, мировой суд</w:t>
      </w:r>
      <w:r>
        <w:rPr>
          <w:rFonts w:ascii="Times New Roman" w:eastAsia="Times New Roman" w:hAnsi="Times New Roman" w:cs="Times New Roman"/>
          <w:sz w:val="27"/>
          <w:szCs w:val="27"/>
        </w:rPr>
        <w:t>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4.1 КоАП РФ, учитывает характер совершенного административного правонарушения, личность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Рябикова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принимая во внимание обстоятельства совершения виновным лицом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предусмотренном санкцией ч. 2 ст. 12.2 КоАП РФ размере</w:t>
      </w:r>
      <w:r>
        <w:rPr>
          <w:rFonts w:ascii="Times New Roman" w:eastAsia="Times New Roman" w:hAnsi="Times New Roman" w:cs="Times New Roman"/>
          <w:sz w:val="27"/>
          <w:szCs w:val="27"/>
        </w:rPr>
        <w:t>, поскольку данный вид наказания является справедливым и соразмерным содеянному.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hyperlink r:id="rId6" w:anchor="/document/12125267/entry/29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29.9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6" w:anchor="/document/12125267/entry/29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29.10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Рябикова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Евгения Владимировича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</w:t>
      </w:r>
      <w:hyperlink r:id="rId6" w:anchor="/document/12125267/entry/122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2 ст.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назначить ему административное наказание в виде административного штрафа в размере </w:t>
      </w:r>
      <w:r>
        <w:rPr>
          <w:rStyle w:val="cat-Sumgrp-17rplc-3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Тюменской области (МО МВД России «Тобольский»), КПП </w:t>
      </w:r>
      <w:r>
        <w:rPr>
          <w:rStyle w:val="cat-PhoneNumbergrp-24rplc-35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ИНН </w:t>
      </w:r>
      <w:r>
        <w:rPr>
          <w:rStyle w:val="cat-PhoneNumbergrp-25rplc-36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ОКТМО </w:t>
      </w:r>
      <w:r>
        <w:rPr>
          <w:rStyle w:val="cat-PhoneNumbergrp-26rplc-3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счета получателя платежа 03100643000000018700 в </w:t>
      </w:r>
      <w:r>
        <w:rPr>
          <w:rFonts w:ascii="Times New Roman" w:eastAsia="Times New Roman" w:hAnsi="Times New Roman" w:cs="Times New Roman"/>
          <w:sz w:val="27"/>
          <w:szCs w:val="27"/>
        </w:rPr>
        <w:t>Отделение Тюмень Банка России//УФК по Тюменской области г. Тюмень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БИК </w:t>
      </w:r>
      <w:r>
        <w:rPr>
          <w:rStyle w:val="cat-PhoneNumbergrp-27rplc-39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кор.счет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40102810945370000060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КБК 18811601123010001140;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18810472260230002581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105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7"/>
      <w:foot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887609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6">
    <w:name w:val="cat-UserDefined grp-31 rplc-6"/>
    <w:basedOn w:val="DefaultParagraphFont"/>
  </w:style>
  <w:style w:type="character" w:customStyle="1" w:styleId="cat-Timegrp-20rplc-16">
    <w:name w:val="cat-Time grp-20 rplc-16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CarMakeModelgrp-21rplc-19">
    <w:name w:val="cat-CarMakeModel grp-21 rplc-19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PhoneNumbergrp-23rplc-23">
    <w:name w:val="cat-PhoneNumber grp-23 rplc-23"/>
    <w:basedOn w:val="DefaultParagraphFont"/>
  </w:style>
  <w:style w:type="character" w:customStyle="1" w:styleId="cat-PhoneNumbergrp-23rplc-27">
    <w:name w:val="cat-PhoneNumber grp-23 rplc-27"/>
    <w:basedOn w:val="DefaultParagraphFont"/>
  </w:style>
  <w:style w:type="character" w:customStyle="1" w:styleId="cat-Sumgrp-17rplc-33">
    <w:name w:val="cat-Sum grp-17 rplc-33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2E971-3519-4ABB-B643-578408803C6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